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B49D" w14:textId="7DF4ED4E" w:rsidR="00C62B67" w:rsidRDefault="00381DDD">
      <w:pPr>
        <w:rPr>
          <w:b/>
          <w:bCs/>
          <w:sz w:val="28"/>
          <w:szCs w:val="28"/>
        </w:rPr>
      </w:pPr>
      <w:r w:rsidRPr="00381DDD">
        <w:rPr>
          <w:b/>
          <w:bCs/>
          <w:sz w:val="28"/>
          <w:szCs w:val="28"/>
        </w:rPr>
        <w:t xml:space="preserve">Hinweise zum Umgang mit Photovoltaik-Anlagen in Kleingärten </w:t>
      </w:r>
    </w:p>
    <w:p w14:paraId="08DCF23D" w14:textId="77777777" w:rsidR="009F4445" w:rsidRDefault="009F4445">
      <w:pPr>
        <w:rPr>
          <w:b/>
          <w:bCs/>
          <w:sz w:val="28"/>
          <w:szCs w:val="28"/>
        </w:rPr>
      </w:pPr>
    </w:p>
    <w:p w14:paraId="2A8E8D4A" w14:textId="0B59BEF8" w:rsidR="00381DDD" w:rsidRDefault="00381DDD">
      <w:pPr>
        <w:rPr>
          <w:sz w:val="24"/>
          <w:szCs w:val="24"/>
        </w:rPr>
      </w:pPr>
      <w:r w:rsidRPr="00381DDD">
        <w:rPr>
          <w:sz w:val="24"/>
          <w:szCs w:val="24"/>
        </w:rPr>
        <w:t>Warum der Kreisverband</w:t>
      </w:r>
      <w:r>
        <w:rPr>
          <w:sz w:val="24"/>
          <w:szCs w:val="24"/>
        </w:rPr>
        <w:t xml:space="preserve"> der Kleingärtner Arnstadt-Ilmenau e.V. das Anbauen von Photovoltaikanlagen in Kleingärten ablehnt:</w:t>
      </w:r>
    </w:p>
    <w:p w14:paraId="123B1BB1" w14:textId="03CEE945" w:rsidR="00381DDD" w:rsidRPr="00381DDD" w:rsidRDefault="00381DDD">
      <w:pPr>
        <w:rPr>
          <w:b/>
          <w:bCs/>
          <w:sz w:val="24"/>
          <w:szCs w:val="24"/>
        </w:rPr>
      </w:pPr>
      <w:r w:rsidRPr="00381DDD">
        <w:rPr>
          <w:b/>
          <w:bCs/>
          <w:sz w:val="24"/>
          <w:szCs w:val="24"/>
        </w:rPr>
        <w:t>Im Beschluss des Bundesverfassungsgerichtes vom 25.02.1998 steht:</w:t>
      </w:r>
    </w:p>
    <w:p w14:paraId="4E8B1811" w14:textId="19CEFAFC" w:rsidR="00381DDD" w:rsidRPr="003B1BF1" w:rsidRDefault="00381DDD">
      <w:pPr>
        <w:rPr>
          <w:b/>
          <w:bCs/>
          <w:sz w:val="24"/>
          <w:szCs w:val="24"/>
        </w:rPr>
      </w:pPr>
      <w:r>
        <w:rPr>
          <w:sz w:val="24"/>
          <w:szCs w:val="24"/>
        </w:rPr>
        <w:t xml:space="preserve">Die Ausstattung von Kleingartenanlagen ist grundsätzlich </w:t>
      </w:r>
      <w:r w:rsidRPr="003B1BF1">
        <w:rPr>
          <w:b/>
          <w:bCs/>
          <w:sz w:val="24"/>
          <w:szCs w:val="24"/>
        </w:rPr>
        <w:t>nicht</w:t>
      </w:r>
      <w:r>
        <w:rPr>
          <w:sz w:val="24"/>
          <w:szCs w:val="24"/>
        </w:rPr>
        <w:t xml:space="preserve"> mit der Ausstattung von Ferienhäusern, Wochenendhäusern oder Campingplätzen </w:t>
      </w:r>
      <w:r w:rsidRPr="003B1BF1">
        <w:rPr>
          <w:b/>
          <w:bCs/>
          <w:sz w:val="24"/>
          <w:szCs w:val="24"/>
        </w:rPr>
        <w:t>vergleichbar.</w:t>
      </w:r>
    </w:p>
    <w:p w14:paraId="7242D283" w14:textId="4AD7BDF0" w:rsidR="00381DDD" w:rsidRDefault="00381DDD">
      <w:pPr>
        <w:rPr>
          <w:sz w:val="24"/>
          <w:szCs w:val="24"/>
        </w:rPr>
      </w:pPr>
      <w:r>
        <w:rPr>
          <w:sz w:val="24"/>
          <w:szCs w:val="24"/>
        </w:rPr>
        <w:t xml:space="preserve">Im Bundeskleingartengesetz ist die Nutzung von Photovoltaikanlagen noch nicht </w:t>
      </w:r>
      <w:r w:rsidR="009F4445">
        <w:rPr>
          <w:sz w:val="24"/>
          <w:szCs w:val="24"/>
        </w:rPr>
        <w:t>geregelt, aber</w:t>
      </w:r>
      <w:r>
        <w:rPr>
          <w:sz w:val="24"/>
          <w:szCs w:val="24"/>
        </w:rPr>
        <w:t xml:space="preserve"> der § 3 besagt, dass eine Laube im Kleingarten nach Beschaffenheit, Ausstattung und Einrichtung nicht zum dauerhaften Wohnen geeignet sein darf. Eine Photovoltaikanlage begünstigt das aber.</w:t>
      </w:r>
    </w:p>
    <w:p w14:paraId="3FF8BB08" w14:textId="0D9AFDC3" w:rsidR="00D11053" w:rsidRDefault="00D11053">
      <w:pPr>
        <w:rPr>
          <w:sz w:val="24"/>
          <w:szCs w:val="24"/>
        </w:rPr>
      </w:pPr>
      <w:r>
        <w:rPr>
          <w:sz w:val="24"/>
          <w:szCs w:val="24"/>
        </w:rPr>
        <w:t xml:space="preserve">Im Kleingarten müssen jegliche baulichen Aktionen mit dem Kleingartenvorstand und Kreisverband abgesprochen und </w:t>
      </w:r>
      <w:r w:rsidR="003B1BF1">
        <w:rPr>
          <w:sz w:val="24"/>
          <w:szCs w:val="24"/>
        </w:rPr>
        <w:t xml:space="preserve">schriftlich </w:t>
      </w:r>
      <w:r>
        <w:rPr>
          <w:sz w:val="24"/>
          <w:szCs w:val="24"/>
        </w:rPr>
        <w:t>beantragt werden. Lokale Vorschriften im Pachtvertrag sind zu beachten.</w:t>
      </w:r>
    </w:p>
    <w:p w14:paraId="391A349A" w14:textId="73C8193D" w:rsidR="00D11053" w:rsidRDefault="00D11053" w:rsidP="00D11053">
      <w:pPr>
        <w:pStyle w:val="Listenabsatz"/>
        <w:numPr>
          <w:ilvl w:val="0"/>
          <w:numId w:val="1"/>
        </w:numPr>
        <w:rPr>
          <w:sz w:val="24"/>
          <w:szCs w:val="24"/>
        </w:rPr>
      </w:pPr>
      <w:r>
        <w:rPr>
          <w:sz w:val="24"/>
          <w:szCs w:val="24"/>
        </w:rPr>
        <w:t>Es ist keine Einspeisung ins Vereinsnetz erlaubt. Alle Leitungen und Stromzähler in den Kleingärten sind dafür</w:t>
      </w:r>
      <w:r w:rsidR="003B1BF1">
        <w:rPr>
          <w:sz w:val="24"/>
          <w:szCs w:val="24"/>
        </w:rPr>
        <w:t xml:space="preserve"> gegenwärtig</w:t>
      </w:r>
      <w:r>
        <w:rPr>
          <w:sz w:val="24"/>
          <w:szCs w:val="24"/>
        </w:rPr>
        <w:t xml:space="preserve"> nicht ausgelegt. Dadurch entsteht Brandgefahr </w:t>
      </w:r>
      <w:r w:rsidR="005F328C">
        <w:rPr>
          <w:sz w:val="24"/>
          <w:szCs w:val="24"/>
        </w:rPr>
        <w:t xml:space="preserve">auch </w:t>
      </w:r>
      <w:r w:rsidR="003B1BF1">
        <w:rPr>
          <w:sz w:val="24"/>
          <w:szCs w:val="24"/>
        </w:rPr>
        <w:t xml:space="preserve">an </w:t>
      </w:r>
      <w:r w:rsidR="005F328C">
        <w:rPr>
          <w:sz w:val="24"/>
          <w:szCs w:val="24"/>
        </w:rPr>
        <w:t>mehrere</w:t>
      </w:r>
      <w:r w:rsidR="003B1BF1">
        <w:rPr>
          <w:sz w:val="24"/>
          <w:szCs w:val="24"/>
        </w:rPr>
        <w:t>n</w:t>
      </w:r>
      <w:r>
        <w:rPr>
          <w:sz w:val="24"/>
          <w:szCs w:val="24"/>
        </w:rPr>
        <w:t xml:space="preserve"> Lauben.</w:t>
      </w:r>
    </w:p>
    <w:p w14:paraId="10BF807A" w14:textId="68D7EB0C" w:rsidR="00D11053" w:rsidRDefault="00D11053" w:rsidP="00D11053">
      <w:pPr>
        <w:pStyle w:val="Listenabsatz"/>
        <w:numPr>
          <w:ilvl w:val="0"/>
          <w:numId w:val="1"/>
        </w:numPr>
        <w:rPr>
          <w:sz w:val="24"/>
          <w:szCs w:val="24"/>
        </w:rPr>
      </w:pPr>
      <w:r>
        <w:rPr>
          <w:sz w:val="24"/>
          <w:szCs w:val="24"/>
        </w:rPr>
        <w:t>Batterien zur Speicherung sind teuer und müssen kühl in einem extra Raum gelagert werden. Ein Zweitgebäude ist laut BKleingG nicht erlaubt., Damit verlieren die Lauben mit Baujahr vor dem 03.10.1990 ihren Bestandsschutz.</w:t>
      </w:r>
    </w:p>
    <w:p w14:paraId="2F9D50B3" w14:textId="66AB13A4" w:rsidR="005F328C" w:rsidRDefault="005F328C" w:rsidP="00D11053">
      <w:pPr>
        <w:pStyle w:val="Listenabsatz"/>
        <w:numPr>
          <w:ilvl w:val="0"/>
          <w:numId w:val="1"/>
        </w:numPr>
        <w:rPr>
          <w:sz w:val="24"/>
          <w:szCs w:val="24"/>
        </w:rPr>
      </w:pPr>
      <w:r>
        <w:rPr>
          <w:sz w:val="24"/>
          <w:szCs w:val="24"/>
        </w:rPr>
        <w:t>Auch braucht man zur Stromeinspeisung in Batterien geeichte Stromzähler, die eine Rückzählung verhindern, die ca. 600 € bis 800 € kosten.</w:t>
      </w:r>
    </w:p>
    <w:p w14:paraId="30190D43" w14:textId="7E6DB797" w:rsidR="00D11053" w:rsidRDefault="00D11053" w:rsidP="00D11053">
      <w:pPr>
        <w:pStyle w:val="Listenabsatz"/>
        <w:numPr>
          <w:ilvl w:val="0"/>
          <w:numId w:val="1"/>
        </w:numPr>
        <w:rPr>
          <w:sz w:val="24"/>
          <w:szCs w:val="24"/>
        </w:rPr>
      </w:pPr>
      <w:r>
        <w:rPr>
          <w:sz w:val="24"/>
          <w:szCs w:val="24"/>
        </w:rPr>
        <w:t xml:space="preserve">Gebrauchte Batterien können noch nicht recycelt werden. Man wird sie </w:t>
      </w:r>
      <w:r w:rsidR="005F328C">
        <w:rPr>
          <w:sz w:val="24"/>
          <w:szCs w:val="24"/>
        </w:rPr>
        <w:t>zurzeit</w:t>
      </w:r>
      <w:r>
        <w:rPr>
          <w:sz w:val="24"/>
          <w:szCs w:val="24"/>
        </w:rPr>
        <w:t xml:space="preserve"> </w:t>
      </w:r>
      <w:r w:rsidR="009F4445">
        <w:rPr>
          <w:sz w:val="24"/>
          <w:szCs w:val="24"/>
        </w:rPr>
        <w:t>nicht los</w:t>
      </w:r>
      <w:r>
        <w:rPr>
          <w:sz w:val="24"/>
          <w:szCs w:val="24"/>
        </w:rPr>
        <w:t>.</w:t>
      </w:r>
    </w:p>
    <w:p w14:paraId="0216D7A0" w14:textId="71DE5574" w:rsidR="005F328C" w:rsidRDefault="005F328C" w:rsidP="00D11053">
      <w:pPr>
        <w:pStyle w:val="Listenabsatz"/>
        <w:numPr>
          <w:ilvl w:val="0"/>
          <w:numId w:val="1"/>
        </w:numPr>
        <w:rPr>
          <w:sz w:val="24"/>
          <w:szCs w:val="24"/>
        </w:rPr>
      </w:pPr>
      <w:r>
        <w:rPr>
          <w:sz w:val="24"/>
          <w:szCs w:val="24"/>
        </w:rPr>
        <w:t>Man braucht viele Genehmigungen auch für Balkonkraftwerke</w:t>
      </w:r>
    </w:p>
    <w:p w14:paraId="6E82DE67" w14:textId="0876EA96" w:rsidR="005F328C" w:rsidRDefault="005F328C" w:rsidP="00D11053">
      <w:pPr>
        <w:pStyle w:val="Listenabsatz"/>
        <w:numPr>
          <w:ilvl w:val="0"/>
          <w:numId w:val="1"/>
        </w:numPr>
        <w:rPr>
          <w:sz w:val="24"/>
          <w:szCs w:val="24"/>
        </w:rPr>
      </w:pPr>
      <w:r>
        <w:rPr>
          <w:sz w:val="24"/>
          <w:szCs w:val="24"/>
        </w:rPr>
        <w:t>Eine Photovoltaikanlage wird nicht wertermittelt. Sie müsste bei Pächterwechsel entfernt werden.</w:t>
      </w:r>
    </w:p>
    <w:p w14:paraId="352EB59F" w14:textId="512BBBF6" w:rsidR="005F328C" w:rsidRDefault="005F328C" w:rsidP="00D11053">
      <w:pPr>
        <w:pStyle w:val="Listenabsatz"/>
        <w:numPr>
          <w:ilvl w:val="0"/>
          <w:numId w:val="1"/>
        </w:numPr>
        <w:rPr>
          <w:sz w:val="24"/>
          <w:szCs w:val="24"/>
        </w:rPr>
      </w:pPr>
      <w:r>
        <w:rPr>
          <w:sz w:val="24"/>
          <w:szCs w:val="24"/>
        </w:rPr>
        <w:t xml:space="preserve">Der Landesverband Thüringen der Gartenfreunde e.V. </w:t>
      </w:r>
      <w:r w:rsidR="009F4445">
        <w:rPr>
          <w:sz w:val="24"/>
          <w:szCs w:val="24"/>
        </w:rPr>
        <w:t>und der Kreisverband der Kleingärtner Arnstadt-Ilmenau e.V. werden dazu keine Empfehlungen geben.</w:t>
      </w:r>
    </w:p>
    <w:p w14:paraId="691A353F" w14:textId="06833F27" w:rsidR="009F4445" w:rsidRDefault="009F4445" w:rsidP="00D11053">
      <w:pPr>
        <w:pStyle w:val="Listenabsatz"/>
        <w:numPr>
          <w:ilvl w:val="0"/>
          <w:numId w:val="1"/>
        </w:numPr>
        <w:rPr>
          <w:sz w:val="24"/>
          <w:szCs w:val="24"/>
        </w:rPr>
      </w:pPr>
      <w:r>
        <w:rPr>
          <w:sz w:val="24"/>
          <w:szCs w:val="24"/>
        </w:rPr>
        <w:t>Wer ohne Baugenehmigung eine Photovoltaikanlage errichtet, entfernt sie wieder.</w:t>
      </w:r>
    </w:p>
    <w:p w14:paraId="33309757" w14:textId="2E3FC8F9" w:rsidR="009F4445" w:rsidRDefault="009F4445" w:rsidP="00D11053">
      <w:pPr>
        <w:pStyle w:val="Listenabsatz"/>
        <w:numPr>
          <w:ilvl w:val="0"/>
          <w:numId w:val="1"/>
        </w:numPr>
        <w:rPr>
          <w:sz w:val="24"/>
          <w:szCs w:val="24"/>
        </w:rPr>
      </w:pPr>
      <w:r>
        <w:rPr>
          <w:sz w:val="24"/>
          <w:szCs w:val="24"/>
        </w:rPr>
        <w:t>Die Pachtverträge und Kleingartenordnungen im Ilm-Kreis werden diesbezüglich noch nicht überarbeitet.</w:t>
      </w:r>
    </w:p>
    <w:p w14:paraId="1A12C2FB" w14:textId="77777777" w:rsidR="009F4445" w:rsidRDefault="009F4445" w:rsidP="009F4445">
      <w:pPr>
        <w:rPr>
          <w:sz w:val="24"/>
          <w:szCs w:val="24"/>
        </w:rPr>
      </w:pPr>
    </w:p>
    <w:p w14:paraId="5316F9AE" w14:textId="77E2AB1A" w:rsidR="009F4445" w:rsidRPr="009F4445" w:rsidRDefault="009F4445" w:rsidP="009F4445">
      <w:pPr>
        <w:rPr>
          <w:sz w:val="24"/>
          <w:szCs w:val="24"/>
        </w:rPr>
      </w:pPr>
      <w:r>
        <w:rPr>
          <w:sz w:val="24"/>
          <w:szCs w:val="24"/>
        </w:rPr>
        <w:t>Stand der Bestimmungen: Juni 2026</w:t>
      </w:r>
    </w:p>
    <w:sectPr w:rsidR="009F4445" w:rsidRPr="009F4445" w:rsidSect="00381DDD">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A2D45"/>
    <w:multiLevelType w:val="hybridMultilevel"/>
    <w:tmpl w:val="B5DEB2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974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DD"/>
    <w:rsid w:val="001C7E8D"/>
    <w:rsid w:val="002453A1"/>
    <w:rsid w:val="00381DDD"/>
    <w:rsid w:val="003B1BF1"/>
    <w:rsid w:val="005576CB"/>
    <w:rsid w:val="005F328C"/>
    <w:rsid w:val="009F4445"/>
    <w:rsid w:val="00C62B67"/>
    <w:rsid w:val="00D11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75EA"/>
  <w15:chartTrackingRefBased/>
  <w15:docId w15:val="{DE5B79B7-76EB-4EB2-962A-8FD8A17F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1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81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81DD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81DD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81DD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81D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1D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1D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1D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DD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81DD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81DD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81DD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81DD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81D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1D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1D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1DDD"/>
    <w:rPr>
      <w:rFonts w:eastAsiaTheme="majorEastAsia" w:cstheme="majorBidi"/>
      <w:color w:val="272727" w:themeColor="text1" w:themeTint="D8"/>
    </w:rPr>
  </w:style>
  <w:style w:type="paragraph" w:styleId="Titel">
    <w:name w:val="Title"/>
    <w:basedOn w:val="Standard"/>
    <w:next w:val="Standard"/>
    <w:link w:val="TitelZchn"/>
    <w:uiPriority w:val="10"/>
    <w:qFormat/>
    <w:rsid w:val="00381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1D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1D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1D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1D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1DDD"/>
    <w:rPr>
      <w:i/>
      <w:iCs/>
      <w:color w:val="404040" w:themeColor="text1" w:themeTint="BF"/>
    </w:rPr>
  </w:style>
  <w:style w:type="paragraph" w:styleId="Listenabsatz">
    <w:name w:val="List Paragraph"/>
    <w:basedOn w:val="Standard"/>
    <w:uiPriority w:val="34"/>
    <w:qFormat/>
    <w:rsid w:val="00381DDD"/>
    <w:pPr>
      <w:ind w:left="720"/>
      <w:contextualSpacing/>
    </w:pPr>
  </w:style>
  <w:style w:type="character" w:styleId="IntensiveHervorhebung">
    <w:name w:val="Intense Emphasis"/>
    <w:basedOn w:val="Absatz-Standardschriftart"/>
    <w:uiPriority w:val="21"/>
    <w:qFormat/>
    <w:rsid w:val="00381DDD"/>
    <w:rPr>
      <w:i/>
      <w:iCs/>
      <w:color w:val="2F5496" w:themeColor="accent1" w:themeShade="BF"/>
    </w:rPr>
  </w:style>
  <w:style w:type="paragraph" w:styleId="IntensivesZitat">
    <w:name w:val="Intense Quote"/>
    <w:basedOn w:val="Standard"/>
    <w:next w:val="Standard"/>
    <w:link w:val="IntensivesZitatZchn"/>
    <w:uiPriority w:val="30"/>
    <w:qFormat/>
    <w:rsid w:val="00381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81DDD"/>
    <w:rPr>
      <w:i/>
      <w:iCs/>
      <w:color w:val="2F5496" w:themeColor="accent1" w:themeShade="BF"/>
    </w:rPr>
  </w:style>
  <w:style w:type="character" w:styleId="IntensiverVerweis">
    <w:name w:val="Intense Reference"/>
    <w:basedOn w:val="Absatz-Standardschriftart"/>
    <w:uiPriority w:val="32"/>
    <w:qFormat/>
    <w:rsid w:val="00381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Motz</dc:creator>
  <cp:keywords/>
  <dc:description/>
  <cp:lastModifiedBy>Fritz Motz</cp:lastModifiedBy>
  <cp:revision>3</cp:revision>
  <dcterms:created xsi:type="dcterms:W3CDTF">2026-06-27T12:51:00Z</dcterms:created>
  <dcterms:modified xsi:type="dcterms:W3CDTF">2026-06-27T13:55:00Z</dcterms:modified>
</cp:coreProperties>
</file>